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Załącznik do decyzji Nr 145/MON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Ministra Obrony Narodowej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z dnia 13 lipca 2017 r. (poz. 157)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>ZASADY POSTĘPOWANIA W KONTAKTACH Z WYKONAWCAMI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Rozdział 1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Postanowienia ogólne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§ 1. Zasady postępowania w kontaktach z wykonawcami regulują postępowanie 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 zwanych dalej "jednostkami organizacyjnymi", oraz osób fizycznych świadczących pracę na podstawie umów cywilnoprawnych w Ministerstwie Obrony Narodowej lub w jednostkach organizacyjnych – w stosunku do osób prawnych, osób fizycznych oraz jednostek organizacyjnych niebędących osobami prawnymi, którym ustawa przyznaje zdolność prawną: </w:t>
      </w:r>
    </w:p>
    <w:p w:rsidR="00905CDE" w:rsidRPr="00905CDE" w:rsidRDefault="00905CDE" w:rsidP="00905C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wykonujących na rzecz Skarbu Państwa lub państwowej osoby prawnej odpłatne umowy,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szczególności na dostawy, świadczenie usług lub roboty budowlane; </w:t>
      </w:r>
    </w:p>
    <w:p w:rsidR="00905CDE" w:rsidRPr="00905CDE" w:rsidRDefault="00905CDE" w:rsidP="00905C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które z racji zakresu prowadzonej działalności mogą starać się o zawarcie umów, o których mowa w pkt 1; </w:t>
      </w:r>
    </w:p>
    <w:p w:rsidR="00905CDE" w:rsidRPr="00905CDE" w:rsidRDefault="00905CDE" w:rsidP="00905C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które działają w imieniu lub na rzecz podmiotów wskazanych w pkt 1 lub 2, zwanych dalej "wykonawcami".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§ 2. W kontaktach z wykonawcami należy zachować świadomość, że mogą oni stosować działania mające na celu zapewnienie im przychylności, skutkujące naruszeniem zasady bezstronności, równego traktowania lub uczciwej konkurencji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(reguła wzajemności).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>§ 3. W kontaktach z wykonawcami należy kierować się zasadami:</w:t>
      </w:r>
    </w:p>
    <w:p w:rsidR="00905CDE" w:rsidRPr="00905CDE" w:rsidRDefault="00905CDE" w:rsidP="00905CD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godności i honoru; </w:t>
      </w:r>
    </w:p>
    <w:p w:rsidR="00905CDE" w:rsidRPr="00905CDE" w:rsidRDefault="00905CDE" w:rsidP="00905CD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zdrowego rozsądku i umiaru; </w:t>
      </w:r>
    </w:p>
    <w:p w:rsidR="00905CDE" w:rsidRPr="00905CDE" w:rsidRDefault="00905CDE" w:rsidP="00905CD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ochrony dobrego imienia Ministerstwa Obrony Narodowej i Sił Zbrojnych Rzeczypospolitej Polskiej; </w:t>
      </w:r>
    </w:p>
    <w:p w:rsidR="00905CDE" w:rsidRPr="00905CDE" w:rsidRDefault="00905CDE" w:rsidP="00905CD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pierwszeństwa interesów Ministerstwa Obrony Narodowej i Sił Zbrojnych Rzeczypospolitej Polskiej; </w:t>
      </w:r>
    </w:p>
    <w:p w:rsidR="00905CDE" w:rsidRPr="00905CDE" w:rsidRDefault="00905CDE" w:rsidP="00905CD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unikania sytuacji, które mogłyby wywoływać powstanie długu materialnego lub honorowego albo poczucia wdzięczności; </w:t>
      </w:r>
    </w:p>
    <w:p w:rsidR="00905CDE" w:rsidRPr="00905CDE" w:rsidRDefault="00905CDE" w:rsidP="00905CD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bezstronności oraz unikania zachowań faworyzujących konkretnego wykonawcę w stosunku do jego konkurencji.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Rozdział 2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Rozliczanie kosztów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>§ 4. 1. Przy rozliczaniu kosztów poniesionych w związku z bezpośrednimi kontaktami z wykonawcami należy przyjąć zasadę "każdy płaci za siebie", w szczególności:</w:t>
      </w:r>
    </w:p>
    <w:p w:rsidR="00905CDE" w:rsidRPr="00905CDE" w:rsidRDefault="00905CDE" w:rsidP="00905C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koszty podróży służbowych, w tym koszty dojazdów, wyżywienia i noclegów pokrywa się wyłącznie z budżetu, którego dysponentem jest Minister Obrony Narodowej; </w:t>
      </w:r>
    </w:p>
    <w:p w:rsidR="00905CDE" w:rsidRPr="00905CDE" w:rsidRDefault="00905CDE" w:rsidP="00905C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w restauracjach i innych miejscach wspólnego przebywania rachunki należy opłacać z własnych środków w ramach późniejszego rozliczenia służbowego, lub ze środków pochodzących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budżetu, którego dysponentem jest Minister Obrony Narodowej (karty płatnicze).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2. Niedopuszczalne jest korzystanie z fundowanego przez wykonawców wyżywienia, transportu, ani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pokrywania przez nich innych kosztów i zobowiązań z wyjątkiem: </w:t>
      </w:r>
    </w:p>
    <w:p w:rsidR="00905CDE" w:rsidRPr="00905CDE" w:rsidRDefault="00905CDE" w:rsidP="00905CD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drobnych poczęstunków serwowanych w trakcie podróży służbowych; </w:t>
      </w:r>
    </w:p>
    <w:p w:rsidR="00905CDE" w:rsidRPr="00905CDE" w:rsidRDefault="00905CDE" w:rsidP="00905CD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transportu związanego z wykonywaniem zadań w ramach podróży służbowych.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br/>
        <w:t>Rozdział 3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Przedsięwzięcia i spotkania z udziałem wykonawców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§ 5. 1. Dopuszczalne są przedsięwzięcia związane z zawarciem lub realizacją umowy, organizowane wspólnie przez komórki lub jednostki organizacyjne oraz wykonawców.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2. Dopuszczalne jest udzielanie pomocy krajowym przedsiębiorstwom sektora obronnego przedsięwzięciach promocyjnych skierowanych na rynki zagraniczne, w tym w ramach międzynarodowych targów, pokazów, wystaw i konferencji o tematyce obronnej, w szczególności w postaci wystawiania referencji dla sprzętu będącego na wyposażeniu Sił Zbrojnych Rzeczypospolitej Polskiej oraz udostępniania informacji i materiałów będących w posiadaniu resortu obrony narodowej, a stanowiących informację publiczną lub informację przetworzoną w rozumieniu przepisów o dostępie do informacji publicznej.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3. Dopuszczalny jest udział w posiedzeniach i konferencjach organizowanych lub współorganizowanych przez organizacje międzynarodowe, których członkiem jest Rzeczpospolita Polska, a w szczególności przez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Organizację Traktatu Północnoatlantyckiego lub Unię Europejską, odbywających się z udziałem wykonawców, a także w przedsięwzięciach realizowanych przez komórki lub jednostki organizacyjne, które wynikają z zaakceptowanego rocznego planu współpracy międzynarodowej resortu obrony narodowej.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4. Zaangażowanie w inne niż wymienione w ust. 1-3 przedsięwzięcia z udziałem wykonawców, w tym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szczególności konferencje, seminaria, sympozja - dopuszczalne jest wyłącznie po uzyskaniu od organizatora informacji zgodnej z wzorem zapytania, zawartym w załączniku Nr 1 do Zasad postępowania w kontaktach z wykonawcami oraz udzieleniu pisemnej zgody dyrektora (szefa, komendanta, kierownika, dowódcy, prezesa) komórki lub jednostki organizacyjnej na uczestnictwo w takim przedsięwzięciu.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chęci uczestnictwa dyrektora (szefa, komendanta, kierownika, dowódcy, prezesa)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przedsięwzięciu z udziałem wykonawców, pisemną zgodę wydaje jego bezpośredni przełożony.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5. Obowiązki, o których mowa w ust. 4, nie dotyczą przypadku, gdy organizatorem, lub współorganizatorem przedsięwzięcia jest Ministerstwo Obrony Narodowej lub inne instytucje krajowej administracji rządowej.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§ 6. 1. Wszelkie spotkania z wykonawcami, jeżeli nie mają charakteru: </w:t>
      </w:r>
    </w:p>
    <w:p w:rsidR="00905CDE" w:rsidRPr="00905CDE" w:rsidRDefault="00905CDE" w:rsidP="00905CD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>przedsięwzięć wymienionych w § 5 ust. 1-3, lub</w:t>
      </w:r>
    </w:p>
    <w:p w:rsidR="00905CDE" w:rsidRPr="00905CDE" w:rsidRDefault="00905CDE" w:rsidP="00905CD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konferencji, seminariów lub sympozjów wymienionych w § 5 ust. 4 i 5, lub </w:t>
      </w:r>
    </w:p>
    <w:p w:rsidR="00905CDE" w:rsidRPr="00905CDE" w:rsidRDefault="00905CDE" w:rsidP="00905CD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spotkań towarzyskich, odbywających się poza godzinami pracy, podczas których nie poruszano żadnych kwestii służbowych, lub </w:t>
      </w:r>
    </w:p>
    <w:p w:rsidR="00905CDE" w:rsidRPr="00905CDE" w:rsidRDefault="00905CDE" w:rsidP="00905CD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spotkań o charakterze jedynie organizacyjno-porządkowym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– powinny odbywać się przy udziale co najmniej dwóch osób będących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przedstawicielami komórek lub jednostek organizacyjnych (zasada „wielu par oczu”), w przeciwnym wypadku całość spotkania powinna zostać utrwalona za pomocą urządzeń i środków technicznych służących do utrwalania dźwięku albo obrazu i dźwięku.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2. Utrwalenie przebiegu spotkania z wykonawcami za pomocą urządzeń i środków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technicznych służących do utrwalania dźwięku albo obrazu i dźwięku, zwane dalej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„zapisem”, następuje po uprzednim uzyskaniu zgody wykonawcy na taki sposób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utrwalenia przebiegu spotkania.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3. Niedopuszczalne jest kontynuowanie spotkania z wykonawcą, który nie wyraził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zgody na utrwalenie jego przebiegu, przy jednoczesnym braku możliwości zapewnienia udziału dwóch osób w spotkaniu, o którym mowa w ust. 1.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4. Zapis następuje za pomocą urządzeń i środków technicznych wykorzystujących technikę cyfrową, zapewniającą: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1)integralność zapisu;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2)kopiowanie zapisu pomiędzy urządzeniami, środkami technicznym i informatycznymi nośnikami danych;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3)zabezpieczenie zapisu, w szczególności przed utratą lub nieuzasadnioną zmianą;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4) odtworzenie zapisu także przy użyciu urządzeń i środków technicznych korygujących lub wzmacniających utrwalony dźwięk lub obraz;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5) udostępnienie zapisu na informatycznym nośniku danych;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6) możliwość bieżącej kontroli dokonywanego zapisu.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5. Informatyczne nośniki danych na których dokonano zapisu podlegają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zdeponowaniu w kancelarii komórki lub jednostki organizacyjnej, której pracownik lub żołnierz brał udział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spotkaniu z wykonawcą, gdzie następnie są archiwizowane przez okres 3 lat.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Rozdział 4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Sponsorowanie przedsięwzięć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§ 7. Z zastrzeżeniem § 5 ust. 1-3, niedopuszczalne jest, aby przedsięwzięcia organizowane lub współorganizowane przez komórki lub jednostki organizacyjne były finansowane, współfinansowane lub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inny sposób materialnie wspierane przez wykonawców, chyba że jest to związane bezpośrednio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koniecznością pokrycia kosztów wynikających z uczestnictwa wykonawcy w danym przedsięwzięciu.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Rozdział 5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Prezenty, materiały promocyjne i informacyjne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§ 8. 1. Niedopuszczalne jest przyjmowanie od wykonawców prezentów w postaci jakichkolwiek korzyści majątkowych lub osobistych.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2. Dopuszczalne jest przyjmowanie materiałów promocyjnych o znikomej wartości handlowej.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3. Dopuszczalne i zalecane jest przyjmowanie materiałów informacyjnych.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4. Dopuszcza się eksponowanie w salach konferencyjnych oraz w innych miejscach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powszechnie dostępnych na terenie komórek i jednostek organizacyjnych otrzymanych od wykonawców materiałów promujących Siły Zbrojne Rzeczypospolitej Polskiej.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5. Niewskazane jest używanie na terenie komórek i jednostek organizacyjnych materiałów i oznaczeń promujących wykonawców, w tym także materiałów biurowych.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Rozdział 6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Kontakty towarzyskie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§ 9. 1. Kontakty towarzyskie z wykonawcami, nawiązane zanim powstały relacje wynikające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wykonywanych obowiązków mogą być kontynuowane, przy zachowaniu zasad określonych w § 3 niniejszego załącznika.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2. W przypadkach innych niż określone w ust. 1, nie zaleca się nawiązywania kontaktów towarzyskich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wykonawcami.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Rozdział 7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Najem i użyczanie lokali oraz terenów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§ 10. Dopuszczalne jest wynajmowanie lub użyczanie wykonawcom lokali i terenów resortu obrony narodowej w celu: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1) przeprowadzenia prezentacji lub pokazów na rzecz komórek lub jednostek organizacyjnych;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2) przeprowadzenia prezentacji lub pokazów organizowanych przez krajowe przedsiębiorstwa sektora obronnego dla odbiorców zagranicznych;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3) realizowania zadań przez Agencję Mienia Wojskowego, wynikających z odrębnych przepisów.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Rozdział 8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Prezentacje, pokazy i referencje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§ 11. 1. Działania informacyjne, z wyłączeniem oficjalnej korespondencji dokonywanej w formie pisemnej lub realizowanej przy pomocy faksu albo służbowej poczty elektronicznej, powinny być przeprowadzane przez wykonawców w formie oficjalnych prezentacji lub pokazów.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2. Wskazane jest, aby prezentacje lub pokazy odbywały się na terenie komórek i jednostek organizacyjnych lub podczas targów.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3. W przypadku, gdyby koszty prezentacji lub pokazu były zbyt wysokie dla wykonawcy, bądź też gdyby prezentacja lub pokaz były ze względów technicznych lub organizacyjnych znacznym utrudnieniem, dopuszczalne jest ich przeprowadzenie u wykonawcy na rzecz oficjalnej delegacji komórek lub jednostek organizacyjnych.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4. Niedopuszczalne jest obciążanie Skarbu Państwa – Ministra Obrony Narodowej, lub państwowej osoby prawnej kosztami organizowanych prezentacji lub pokazów, z wyłączeniem opłat z tytułu zużytych mediów i wstawek konferencyjnych.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5. W celu zbierania niezbędnych doświadczeń i informacji dyrektorzy (szefowie, komendanci, kierownicy, dowódcy, prezesi) komórek i jednostek organizacyjnych mogą za pisemną zgodą bezpośredniego przełożonego organizować prezentacje i pokazy z udziałem wykonawców.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6. Dyrektor (szef, komendant, kierownik, dowódca, prezes) komórki lub jednostki organizacyjnej odpowiedzialnej za organizację przedsięwzięcia, o którym mowa w ust. 5, dotyczącego sprzętu wojskowego, w terminie 14 dni od dnia jego zakończenia, przekazuje Dyrektorowi Departamentu Polityki Zbrojeniowej notatkę o tym wydarzeniu, zgodnie ze wzorem stanowiącym załącznik Nr 2 do Zasad postępowania w kontaktach z wykonawcami.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7. Wskazane jest zamieszczanie przez komórki i jednostki organizacyjne z odpowiednim wyprzedzeniem na własnych stronach internetowych informacji o zamiarze organizacji lub możliwości przeprowadzenia prezentacji lub pokazu, dotyczącego konkretnych grup asortymentowych sprzętu lub usług, w celu umożliwienia jak największej grupie wykonawców zgłoszenia swojego udziału w tego typu wydarzeniach.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§ 12. 1. Dopuszczalne jest udzielenie wykonawcy pozytywnych referencji (poświadczenia) w związku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należytym wykonaniem przez niego umowy.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2. Referencji, o których mowa w ust. 1, udziela w formie pisemnej zamawiający po uprzednim ustaleniu należytego wykonania umowy.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3. Niedopuszczalne jest udzielanie referencji, o których mowa w ust. 1, wykonawcom, w stosunku do których zamawiający uprawniony jest do zgłoszenia roszczeń z tytułu niewykonania lub nienależytego wykonania umowy, której mają dotyczyć referencje.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Rozdział 9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Faworyzowanie i konflikt interesów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§ 13. 1. Niedopuszczalne jest faworyzowanie wykonawcy, polegające w szczególności na: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1) wcześniejszym udzielaniu mu informacji,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2) nieuzasadnionym ograniczeniu innym wykonawcom dostępu do informacji – które może stawiać go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uprzywilejowanej pozycji w stosunku do innych wykonawców.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2. Wskazane jest, aby pracownicy i żołnierze komórek i jednostek organizacyjnych oraz osoby fizyczne świadczące pracę na podstawie umów cywilnoprawnych w Ministerstwie Obrony Narodowej lub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jednostkach organizacyjnych, informowali odpowiednio bezpośrednich przełożonych lub zamawiających o relacjach prawnych lub faktycznych, w których ich interes prywatny (osobisty lub majątkowy), wynikający z powiązań z konkretnym wykonawcą, wpływa, bądź może wpływać na obiektywne i bezstronne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wykonywanie powierzonych obowiązków (realny bądź potencjalny konflikt interesów) lub też może być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on postrzegany przez opinię publiczną jako znajdujący się w konflikcie z obiektywnym i bezstronnym wykonywaniem realizowanych przez nich obowiązków (postrzegalny konflikt interesów).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3. Przez konflikt interesów należy rozumieć, w szczególności posiadanie powiązań o charakterze finansowym, rodzinnym lub towarzyskim z wykonawcą.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4. Dyrektor (szef, komendant, kierownik, dowódca, prezes) komórki lub jednostki organizacyjnej dysponujący wiarygodną informacją o realnym, potencjalnym lub postrzegalnym konflikcie interesów podległego mu pracownika lub żołnierza komórki lub jednostki organizacyjnej, bądź osoby fizycznej świadczącej pracę na podstawie umów cywilnoprawnych w Ministerstwie Obrony Narodowej lub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 jednostkach organizacyjnych, rozstrzyga niezwłocznie o potrzebie podjęcia czynności zaradczych w celu wyeliminowania lub ograniczenia możliwości zaistnienia konfliktu interesów.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5. Czynnością zaradczą, o której mowa w ust. 4, może być w szczególności: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1) wydanie dyspozycji o konieczności udziału minimum dwóch osób w realizacji określonych czynności (zasada „wielu par oczu”), lub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2) włączenie dodatkowych mechanizmów nadzorczych, w tym kontrolnych, lub sprawozdawczych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realizacji określonych czynności, lub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3) wyłączenie osoby pozostającej w konflikcie interesów z udziału w określonej czynności, lub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4) doprowadzenie do rozwiązania umowy cywilnoprawnej zawartej z osobą fizyczną, o której mowa w ust. 2.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6. W przypadku postrzegalnego lub potencjalnego konfliktu interesów dyrektor (szef, komendant, kierownik, dowódca, prezes) komórki lub jednostki organizacyjnej może nie podejmować żadnej czynności zaradczej, jeżeli w pisemnej notatce, zarejestrowanej w kancelarii potwierdzi, że konflikt ten jest w jego ocenie nieistotny z punktu widzenia prawidłowego działania danej komórki lub jednostki organizacyjnej,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 samo ujawnienie go przez osobę, pozostającą w konflikcie interesów jest wystarczające do jego skutecznej kontroli.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>7. W przypadku, gdy konflikt interesów dotyczy dyrektora (szefa, komendanta, kierownika, dowódcy, prezesa) komórki lub jednostki organizacyjnej, o potrzebie podjęcia czynności zaradczych w celu wyeliminowania lub ograniczenia możliwości jego zaistnienia, decyduje bezpośredni przełożony tej osoby. Przepisy ust. 2-6 stosuje się odpowiednio.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Rozdział 10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Sprawozdawczość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§ 14. 1. Z wszelkich kontaktów z wykonawcami, osoby biorące w nich udział, sporządzają notatkę zawierającą informacje odnośnie: stron, celu, inicjatora, formy kontaktu lub miejsca spotkania oraz faktu udokumentowania jego przebiegu za pomocą urządzeń i środków technicznych służących do utrwalania dźwięku albo obrazu i dźwięku, a w przypadku gdy przebieg spotkania nie został w ten sposób udokumentowany – również szczegółowych danych uzyskanych od wykonawcy i przekazanych wykonawcy. Istnieje możliwość sporządzenia wspólnej notatki przez osoby uczestniczące w kontaktach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wykonawcami.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2.Notatkę, o której mowa w ust. 1, sporządza się również w przypadku kontaktów z podmiotami zainteresowanymi nabyciem nieruchomości Skarbu Państwa lub mienia ruchomego o wartości księgowej przekraczającej 10.000 złotych.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3. Treść notatki zamieszcza się w terminie 14 dni od dnia przeprowadzenia kontaktu w wewnętrznej sieci elektronicznej w zakładce pod nazwą „kontakty z wykonawcami”.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4. Obowiązek, o którym mowa w ust. 1 i 3, nie dotyczy: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1) czynności zamawiającego, w związku z postępowaniem o udzielenie zamówienia od chwili zamieszczenia ogłoszenia o postępowaniu lub skierowania zaproszenia do udziału w postępowaniu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trybie negocjacji, do chwili wyboru wykonawcy, o ile czynności te podejmowane są w ramach prac komisji;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2) czynności zamawiającego podejmowanych od chwili wyboru wykonawcy do chwili podpisania umowy oraz czynności związanych z wykonywaniem zawartych umów, o ile czynności te podejmowane są przez uprzednio pisemnie wyznaczone osoby;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3) kontaktów mających charakter oficjalnej korespondencji dokonywanej w formie pisemnej lub realizowanej przy pomocy faksu albo służbowej poczty elektronicznej;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4) kontaktów mających miejsce w związku z realizacją fazy analityczno-koncepcyjnej, o której mowa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przepisach decyzji w spawie pozyskiwania sprzętu wojskowego i usług dla Sił Zbrojnych Rzeczypospolitej Polskiej, o ile kontakty te zostaną opisane w dokumentacji, która powstanie w ramach tej fazy, pisemnej notatce lub protokole spotkania, bądź też ich przebieg zostanie utrwalony za pomocą urządzeń i środków technicznych służących do utrwalania dźwięku albo obrazu i dźwięku;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5) kontaktów dotyczących jedynie zagadnień o charakterze organizacyjno-porządkowym;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6) kontaktów o charakterze wyłącznie towarzyskim, odbywających się poza godzinami pracy, w trakcie których nie poruszano żadnych kwestii służbowych;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7) prezentacji i pokazów organizowanych na podstawie § 11 ust. 5;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8) kontaktów realizowanych w celu wykonywania obowiązków przewidzianych w ustawie o niektórych umowach zawieranych w związku z realizacją zamówień o podstawowym znaczeniu dla bezpieczeństwa państwa, o ile kontakty te zostaną opisane w pisemnej notatce lub protokole spotkania, bądź też ich przebieg zostanie utrwalony za pomocą urządzeń i środków technicznych służących do utrwalania dźwięku albo obrazu i dźwięku;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9) kontaktów realizowanych w celu wykonania obowiązków przewidzianych w przepisach decyzji w spawie zasad funkcjonowania systemu zapewnienia jakości wyrobów obronnych, o ile kontakty te zostaną opisane w pisemnej notatce lub protokole spotkania, bądź też ich przebieg zostanie utrwalony za pomocą urządzeń i środków technicznych służących do utrwalania dźwięku albo obrazu i dźwięku.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5. W wewnętrznej sieci elektronicznej nie powinny być zamieszczane notatki sporządzane ze spotkań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wykonawcami, w przypadku gdyby podlegały one szczególnej ochronie przewidzianej w ustawie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ochronie informacji niejawnych.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Rozdział 11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b/>
          <w:sz w:val="20"/>
          <w:szCs w:val="20"/>
          <w:lang w:eastAsia="pl-PL"/>
        </w:rPr>
        <w:t>Wykładnia postanowień decyzji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§ 15. 1. Podmioty zainteresowane mogą zwrócić się z pisemnym wnioskiem do Dyrektora Biura do Spraw Procedur Antykorupcyjnych o wydanie pisemnej opinii w sprawie interpretacji postanowień zawartych </w:t>
      </w:r>
      <w:r w:rsidRPr="00905CD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decyzji, zwanej dalej "opinią".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2. Podmiot wnioskujący może zastrzec we wniosku, o którym mowa w ust. 1, anonimizację danych osobowych.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3. Opinia ma charakter wiążący dla wszystkich komórek i jednostek organizacyjnych.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4. Dyrektor Biura do Spraw Procedur Antykorupcyjnych zamieszcza opinię w wewnętrznej sieci elektronicznej (intranet), w zakładce "kontakty z wykonawcami".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5CDE">
        <w:rPr>
          <w:rFonts w:ascii="Arial" w:eastAsia="Times New Roman" w:hAnsi="Arial" w:cs="Arial"/>
          <w:sz w:val="20"/>
          <w:szCs w:val="20"/>
          <w:lang w:eastAsia="pl-PL"/>
        </w:rPr>
        <w:t xml:space="preserve">5. Dyrektor Biura do Spraw Procedur Antykorupcyjnych może odmówić wydania opinii w sprawach, które były już przedmiotem rozstrzygnięcia lub, w których stan faktyczny ma charakter analogiczny do uprzednio opiniowanej sprawy. </w:t>
      </w:r>
    </w:p>
    <w:p w:rsidR="00905CDE" w:rsidRPr="00905CDE" w:rsidRDefault="00905CDE" w:rsidP="0090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05CDE" w:rsidRPr="00905CDE" w:rsidRDefault="00905CDE" w:rsidP="00905CDE">
      <w:pPr>
        <w:tabs>
          <w:tab w:val="left" w:pos="-269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mallCaps/>
          <w:color w:val="000000"/>
          <w:sz w:val="20"/>
          <w:szCs w:val="20"/>
          <w:lang w:eastAsia="pl-PL"/>
        </w:rPr>
      </w:pPr>
    </w:p>
    <w:p w:rsidR="00813BA2" w:rsidRDefault="006E66AE">
      <w:bookmarkStart w:id="0" w:name="_GoBack"/>
      <w:bookmarkEnd w:id="0"/>
    </w:p>
    <w:sectPr w:rsidR="00813BA2" w:rsidSect="00F86EC9">
      <w:footerReference w:type="default" r:id="rId8"/>
      <w:pgSz w:w="11905" w:h="16837"/>
      <w:pgMar w:top="709" w:right="990" w:bottom="426" w:left="1418" w:header="708" w:footer="172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6AE" w:rsidRDefault="006E66AE" w:rsidP="00905CDE">
      <w:pPr>
        <w:spacing w:after="0" w:line="240" w:lineRule="auto"/>
      </w:pPr>
      <w:r>
        <w:separator/>
      </w:r>
    </w:p>
  </w:endnote>
  <w:endnote w:type="continuationSeparator" w:id="0">
    <w:p w:rsidR="006E66AE" w:rsidRDefault="006E66AE" w:rsidP="00905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B2F" w:rsidRDefault="006E66AE">
    <w:pPr>
      <w:pStyle w:val="Stopka"/>
      <w:jc w:val="right"/>
      <w:rPr>
        <w:sz w:val="16"/>
        <w:szCs w:val="16"/>
      </w:rPr>
    </w:pPr>
  </w:p>
  <w:p w:rsidR="004174B4" w:rsidRPr="006D1554" w:rsidRDefault="006E66AE">
    <w:pPr>
      <w:pStyle w:val="Stopka"/>
      <w:jc w:val="right"/>
      <w:rPr>
        <w:sz w:val="16"/>
        <w:szCs w:val="16"/>
      </w:rPr>
    </w:pPr>
    <w:r w:rsidRPr="006D1554">
      <w:rPr>
        <w:sz w:val="16"/>
        <w:szCs w:val="16"/>
      </w:rPr>
      <w:t xml:space="preserve">Strona </w:t>
    </w:r>
    <w:r w:rsidRPr="006D1554">
      <w:rPr>
        <w:sz w:val="16"/>
        <w:szCs w:val="16"/>
      </w:rPr>
      <w:fldChar w:fldCharType="begin"/>
    </w:r>
    <w:r w:rsidRPr="006D1554">
      <w:rPr>
        <w:sz w:val="16"/>
        <w:szCs w:val="16"/>
      </w:rPr>
      <w:instrText>PAGE</w:instrText>
    </w:r>
    <w:r w:rsidRPr="006D1554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6D1554">
      <w:rPr>
        <w:sz w:val="16"/>
        <w:szCs w:val="16"/>
      </w:rPr>
      <w:fldChar w:fldCharType="end"/>
    </w:r>
    <w:r w:rsidRPr="006D1554">
      <w:rPr>
        <w:sz w:val="16"/>
        <w:szCs w:val="16"/>
      </w:rPr>
      <w:t xml:space="preserve"> z </w:t>
    </w:r>
    <w:r w:rsidRPr="006D1554">
      <w:rPr>
        <w:sz w:val="16"/>
        <w:szCs w:val="16"/>
      </w:rPr>
      <w:fldChar w:fldCharType="begin"/>
    </w:r>
    <w:r w:rsidRPr="006D1554">
      <w:rPr>
        <w:sz w:val="16"/>
        <w:szCs w:val="16"/>
      </w:rPr>
      <w:instrText>NUMPAGES</w:instrText>
    </w:r>
    <w:r w:rsidRPr="006D1554">
      <w:rPr>
        <w:sz w:val="16"/>
        <w:szCs w:val="16"/>
      </w:rPr>
      <w:fldChar w:fldCharType="separate"/>
    </w:r>
    <w:r>
      <w:rPr>
        <w:noProof/>
        <w:sz w:val="16"/>
        <w:szCs w:val="16"/>
      </w:rPr>
      <w:t>7</w:t>
    </w:r>
    <w:r w:rsidRPr="006D1554">
      <w:rPr>
        <w:sz w:val="16"/>
        <w:szCs w:val="16"/>
      </w:rPr>
      <w:fldChar w:fldCharType="end"/>
    </w:r>
  </w:p>
  <w:p w:rsidR="004174B4" w:rsidRDefault="006E66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6AE" w:rsidRDefault="006E66AE" w:rsidP="00905CDE">
      <w:pPr>
        <w:spacing w:after="0" w:line="240" w:lineRule="auto"/>
      </w:pPr>
      <w:r>
        <w:separator/>
      </w:r>
    </w:p>
  </w:footnote>
  <w:footnote w:type="continuationSeparator" w:id="0">
    <w:p w:rsidR="006E66AE" w:rsidRDefault="006E66AE" w:rsidP="00905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6561D"/>
    <w:multiLevelType w:val="hybridMultilevel"/>
    <w:tmpl w:val="C39A7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E42DD"/>
    <w:multiLevelType w:val="hybridMultilevel"/>
    <w:tmpl w:val="CED8D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61204"/>
    <w:multiLevelType w:val="hybridMultilevel"/>
    <w:tmpl w:val="899EE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F5FEC"/>
    <w:multiLevelType w:val="hybridMultilevel"/>
    <w:tmpl w:val="473E7400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4" w15:restartNumberingAfterBreak="0">
    <w:nsid w:val="748A2CC1"/>
    <w:multiLevelType w:val="hybridMultilevel"/>
    <w:tmpl w:val="657CC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CDE"/>
    <w:rsid w:val="0043411E"/>
    <w:rsid w:val="006E66AE"/>
    <w:rsid w:val="00905CDE"/>
    <w:rsid w:val="00C0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1225CC-0744-458E-B4D2-E0AA7AAD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5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5CDE"/>
  </w:style>
  <w:style w:type="paragraph" w:styleId="Stopka">
    <w:name w:val="footer"/>
    <w:basedOn w:val="Normalny"/>
    <w:link w:val="StopkaZnak"/>
    <w:uiPriority w:val="99"/>
    <w:unhideWhenUsed/>
    <w:rsid w:val="00905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D2DBD2B-2A0C-4C76-BC67-0F7B28B283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2777</Words>
  <Characters>16666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Walesiak Grzegorz</dc:creator>
  <cp:keywords/>
  <dc:description/>
  <cp:lastModifiedBy>Walesiak Grzegorz</cp:lastModifiedBy>
  <cp:revision>1</cp:revision>
  <dcterms:created xsi:type="dcterms:W3CDTF">2025-05-28T09:38:00Z</dcterms:created>
  <dcterms:modified xsi:type="dcterms:W3CDTF">2025-05-28T09:39:00Z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9cadee08-58ce-48ce-81b8-9a8edb3e34c5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ajlcUJg58/zW+1tlmOXsPnfXZUglYom1</vt:lpwstr>
  </property>
</Properties>
</file>